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A5BD" w14:textId="77777777" w:rsidR="003C4C6D" w:rsidRDefault="00570F95" w:rsidP="00570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FEDERAL AND STATE </w:t>
      </w:r>
    </w:p>
    <w:p w14:paraId="10305CDB" w14:textId="5DF5FAE2" w:rsidR="00570F95" w:rsidRDefault="00570F95" w:rsidP="00570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LEGAL SANCTIONS FOR</w:t>
      </w:r>
    </w:p>
    <w:p w14:paraId="7C483D87" w14:textId="77777777" w:rsidR="003C4C6D" w:rsidRDefault="00570F95" w:rsidP="00570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UNLAWFUL POSSESSION OR DISTRIBUTION OF </w:t>
      </w:r>
    </w:p>
    <w:p w14:paraId="2A670138" w14:textId="5431243E" w:rsidR="00570F95" w:rsidRDefault="00570F95" w:rsidP="00570F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ILLICIT DRUGS AND ALCOHOL</w:t>
      </w:r>
    </w:p>
    <w:p w14:paraId="5DC3E74F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A69C02" w14:textId="459AC6A8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Federal Laws</w:t>
      </w:r>
    </w:p>
    <w:p w14:paraId="361094C1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BBCA53" w14:textId="3F8D9818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A. Possession of Illicit Drugs</w:t>
      </w:r>
    </w:p>
    <w:p w14:paraId="487CABF8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4DA492" w14:textId="35278742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(1) Federal laws prohibit illegal possession of controlled substances (U.S. Department of Justice and Drug</w:t>
      </w:r>
    </w:p>
    <w:p w14:paraId="3EAF6DC0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Enforcement Administration).</w:t>
      </w:r>
    </w:p>
    <w:p w14:paraId="6B122A33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(a) First offense: prison sentences up to one year and a minimum fine of $1,000.</w:t>
      </w:r>
    </w:p>
    <w:p w14:paraId="49448FE9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(b) Second offense: prison sentences up to two years and fined a minimum of $2,500.</w:t>
      </w:r>
    </w:p>
    <w:p w14:paraId="6651AF2A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(c) Third offense: prison sentences up to three years and fined a minimum of $5,000.</w:t>
      </w:r>
    </w:p>
    <w:p w14:paraId="66B9D012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(d) Special sentencing provisions apply for possession of flunitrazepam, including imprisonment of</w:t>
      </w:r>
    </w:p>
    <w:p w14:paraId="01703F60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three years as well as the fine schedule referenced above.</w:t>
      </w:r>
    </w:p>
    <w:p w14:paraId="711A4610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3BEA84" w14:textId="71DE1D63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B. Trafficking of Illicit Drugs</w:t>
      </w:r>
    </w:p>
    <w:p w14:paraId="25BC7357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56072E6C" w14:textId="5089A712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(1) Under federal law, the manufacture, distribution, </w:t>
      </w:r>
      <w:proofErr w:type="gramStart"/>
      <w:r>
        <w:rPr>
          <w:rFonts w:ascii="Arial" w:hAnsi="Arial" w:cs="Arial"/>
          <w:color w:val="231F20"/>
          <w:sz w:val="20"/>
          <w:szCs w:val="20"/>
        </w:rPr>
        <w:t>dispensation</w:t>
      </w:r>
      <w:proofErr w:type="gramEnd"/>
      <w:r>
        <w:rPr>
          <w:rFonts w:ascii="Arial" w:hAnsi="Arial" w:cs="Arial"/>
          <w:color w:val="231F20"/>
          <w:sz w:val="20"/>
          <w:szCs w:val="20"/>
        </w:rPr>
        <w:t xml:space="preserve"> or possession with intent to manufacture,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distribute or dispense of all Schedule I and II illicit drugs (e.g., cocaine, ecgonine, methamphetamines, heroin,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PCP, LSD and all mixtures containing such substances) is a felony.</w:t>
      </w:r>
    </w:p>
    <w:p w14:paraId="3463F05A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6C8CCD62" w14:textId="4BDB3A99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(a) First offense: (dependent upon the amount and type of substance) prison sentences of ten years</w:t>
      </w:r>
    </w:p>
    <w:p w14:paraId="70B014DF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to life (20 years to life if death or serious bodily injury is involved) and fines of up to $10,000,000 for</w:t>
      </w:r>
    </w:p>
    <w:p w14:paraId="2E1D9AFC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offenses by individuals ($50,000,000 for other than individuals).</w:t>
      </w:r>
    </w:p>
    <w:p w14:paraId="40CF85A5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(b) Second offense: (dependent upon the amount and type of substance) prison sentences of 20</w:t>
      </w:r>
    </w:p>
    <w:p w14:paraId="7446EB72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years to life (life imprisonment if death or serious bodily injury is involved) and fines up to $20,000,000 for</w:t>
      </w:r>
    </w:p>
    <w:p w14:paraId="5FC372D1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offenses by individuals ($75,000,000 for other than individuals)</w:t>
      </w:r>
    </w:p>
    <w:p w14:paraId="537D9136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6818A63F" w14:textId="79086E54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(2) Federal law also prohibits trafficking in marijuana, hashish, hashish oil and mixtures containing such substances.</w:t>
      </w:r>
    </w:p>
    <w:p w14:paraId="021792A8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14AEB56D" w14:textId="1338B8D6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(a) First offense: prison sentence up to five years and fines of up to $250,000 for offenses by</w:t>
      </w:r>
    </w:p>
    <w:p w14:paraId="0D72D7B7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individuals ($1,000,000 for other than individuals). Penalties vary depending upon the quantity of drugs</w:t>
      </w:r>
    </w:p>
    <w:p w14:paraId="09CA350A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involved.</w:t>
      </w:r>
    </w:p>
    <w:p w14:paraId="2D6184E5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(b) Second offense: prison sentence up to ten years, and fines of up to $500,000 for offenses by</w:t>
      </w:r>
    </w:p>
    <w:p w14:paraId="11340AE1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individuals ($2,000,000 for other than individuals).</w:t>
      </w:r>
    </w:p>
    <w:p w14:paraId="11710344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60D7D036" w14:textId="080D3B30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(3) The trafficking of medically useful drugs (e.g., prescription and over-the counter drugs) is illegal. Outcomes for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trafficking of such drugs is dependent upon which Schedule the substance falls under according to the Controlled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Substances Act (CSA).</w:t>
      </w:r>
    </w:p>
    <w:p w14:paraId="037B8F6E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562833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5B8DF8" w14:textId="363A297B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State of California Laws</w:t>
      </w:r>
    </w:p>
    <w:p w14:paraId="288CDAED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624195" w14:textId="34512889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A. Alcohol</w:t>
      </w:r>
    </w:p>
    <w:p w14:paraId="1E6B11CA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45517CBF" w14:textId="7BB7E6BB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(1) It is a crime to sell, furnish or give alcoholic beverages to a person under age 21 or to any obviously intoxicated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person (California Business &amp; Professions Code 25658 &amp; 25602).</w:t>
      </w:r>
    </w:p>
    <w:p w14:paraId="3C605FB2" w14:textId="118D7A5C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(2) It is a crime for a person under the age of 21 to purchase or possess alcoholic beverages (California Business &amp;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Professions Code 25658 &amp; 25662).</w:t>
      </w:r>
    </w:p>
    <w:p w14:paraId="58441677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(3) It is a crime to sell alcohol without a valid liquor license or permit (California Business &amp; Professions Code 23301).</w:t>
      </w:r>
    </w:p>
    <w:p w14:paraId="52D36633" w14:textId="201E8C41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lastRenderedPageBreak/>
        <w:t>(4) It is a crime for any person to drink any alcoholic beverage while driving a motor vehicle, to drink any alcoholi</w:t>
      </w:r>
      <w:r>
        <w:rPr>
          <w:rFonts w:ascii="Arial" w:hAnsi="Arial" w:cs="Arial"/>
          <w:color w:val="231F20"/>
          <w:sz w:val="20"/>
          <w:szCs w:val="20"/>
        </w:rPr>
        <w:t xml:space="preserve">c </w:t>
      </w:r>
      <w:r>
        <w:rPr>
          <w:rFonts w:ascii="Arial" w:hAnsi="Arial" w:cs="Arial"/>
          <w:color w:val="231F20"/>
          <w:sz w:val="20"/>
          <w:szCs w:val="20"/>
        </w:rPr>
        <w:t>beverage while riding as a passenger in any motor vehicle or to drive under the influence of alcohol (California Vehicle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Code 23220-23222 &amp; 23152).</w:t>
      </w:r>
    </w:p>
    <w:p w14:paraId="1F9AE7CA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(5) It is a crime to be intoxicated in a public place (California Penal Code 647(</w:t>
      </w:r>
      <w:proofErr w:type="gramStart"/>
      <w:r>
        <w:rPr>
          <w:rFonts w:ascii="Arial" w:hAnsi="Arial" w:cs="Arial"/>
          <w:color w:val="231F20"/>
          <w:sz w:val="20"/>
          <w:szCs w:val="20"/>
        </w:rPr>
        <w:t>f )</w:t>
      </w:r>
      <w:proofErr w:type="gramEnd"/>
      <w:r>
        <w:rPr>
          <w:rFonts w:ascii="Arial" w:hAnsi="Arial" w:cs="Arial"/>
          <w:color w:val="231F20"/>
          <w:sz w:val="20"/>
          <w:szCs w:val="20"/>
        </w:rPr>
        <w:t>).</w:t>
      </w:r>
    </w:p>
    <w:p w14:paraId="14BAE68F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(6) </w:t>
      </w:r>
      <w:r>
        <w:rPr>
          <w:rFonts w:ascii="Arial" w:hAnsi="Arial" w:cs="Arial"/>
          <w:color w:val="231F20"/>
          <w:sz w:val="20"/>
          <w:szCs w:val="20"/>
        </w:rPr>
        <w:t>Intoxication is presumed at blood levels of .08% or higher (California Vehicle Code 23152).</w:t>
      </w:r>
    </w:p>
    <w:p w14:paraId="023DE70C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2BBBF0" w14:textId="4EF759D4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B. Penalties for Drunk Driving Offenses</w:t>
      </w:r>
    </w:p>
    <w:p w14:paraId="63DDF785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54E6D632" w14:textId="3B5D3DE8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(1) First offense: fines up to $1,000, imprisonment up to six months, driver</w:t>
      </w:r>
      <w:r>
        <w:rPr>
          <w:rFonts w:ascii="ArialMT" w:hAnsi="ArialMT" w:cs="ArialMT"/>
          <w:color w:val="231F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 license suspension up to six months and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interlock ignition device required in some counties.</w:t>
      </w:r>
    </w:p>
    <w:p w14:paraId="68E81DB0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379FE04F" w14:textId="420FFBF3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(2) Second offense: fines up to $1,000, imprisonment up to one year, driver</w:t>
      </w:r>
      <w:r>
        <w:rPr>
          <w:rFonts w:ascii="ArialMT" w:hAnsi="ArialMT" w:cs="ArialMT"/>
          <w:color w:val="231F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 license suspension up to one year and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interlock ignition device required up to one year.</w:t>
      </w:r>
    </w:p>
    <w:p w14:paraId="2C709C79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71CA13AF" w14:textId="03857120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(3) Third offense: fines up to $1,800, imprisonment up to one year driver</w:t>
      </w:r>
      <w:r>
        <w:rPr>
          <w:rFonts w:ascii="ArialMT" w:hAnsi="ArialMT" w:cs="ArialMT"/>
          <w:color w:val="231F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 license suspension up to three years and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interlock ignition device required up to two years.</w:t>
      </w:r>
    </w:p>
    <w:p w14:paraId="7579A600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7B06F849" w14:textId="209B2890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(4) Refusal to submit to a blood alcohol content test: $125 fine and driving privileges are suspended for one year, for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two years if there is a prior offense within 10 years and for three years with three or more offenses within 10 years.</w:t>
      </w:r>
    </w:p>
    <w:p w14:paraId="0BE395BA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7BC2DB0D" w14:textId="00CB947C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(5) Drivers under the age of 21 found with any measurable amount of blood alcohol (.01% or more) will be fined up to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$300 and will have their driver</w:t>
      </w:r>
      <w:r>
        <w:rPr>
          <w:rFonts w:ascii="ArialMT" w:hAnsi="ArialMT" w:cs="ArialMT"/>
          <w:color w:val="231F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 license suspended for one year and will be required to attend DUI school. If the driver does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not have a license, there will be a one-year delay in obtaining one.</w:t>
      </w:r>
    </w:p>
    <w:p w14:paraId="70FBD15A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5A6C7E" w14:textId="1D0C03D5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C. Marijuana</w:t>
      </w:r>
    </w:p>
    <w:p w14:paraId="6EC90EF4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80DABF" w14:textId="039EAAE4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(1) It is a crime for any person to smoke or ingest marijuana or any marijuana product while driving a motor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vehicle, to smoke or ingest marijuana or any marijuana product while riding as a passenger in any motor vehicle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 be under the influence of any illegal drug while driving a motor vehicle (California Vehicle Code 23220, 23221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&amp; 23152).</w:t>
      </w:r>
    </w:p>
    <w:p w14:paraId="0EB347B5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54B1D3" w14:textId="13FA91AD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D. Illicit Drugs</w:t>
      </w:r>
    </w:p>
    <w:p w14:paraId="41FE843E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11A37594" w14:textId="0B33B9D8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(1) Under California law, first offenses involving the sale or possession for sale of amphetamines, codeine, cocaine,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heroin, LSD, mescaline, methadone, methamphetamine, morphine, PCP, peyote, and psilocybin (among others) are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felonies carrying prison terms of up to four years (California Health &amp; Safety Code 11054, 11055 &amp; 11351).</w:t>
      </w:r>
    </w:p>
    <w:p w14:paraId="2FF684AE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00F5F399" w14:textId="3ECF90C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(2) If the offense involved heroin, cocaine, cocaine base, or any analog of these substances and occurred upon the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grounds of, or within, a church or synagogue, a playground, a public or private youth center, a child day care facility,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 a public swimming pool, during hours in which the facility is open for business, classes, or school-related programs,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or at any time when minors are using the facility, the defendant shall, as a full and separately served enhancement to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any other enhancement provided in paragraph (3), be punished by imprisonment in the state prison for one year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(California Health &amp; Safety Code 11353.1).</w:t>
      </w:r>
    </w:p>
    <w:p w14:paraId="4E178DE0" w14:textId="77777777" w:rsidR="003C4C6D" w:rsidRDefault="003C4C6D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04F2F1D1" w14:textId="63D4AF75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(3) It is unlawful to possess any </w:t>
      </w:r>
      <w:proofErr w:type="gramStart"/>
      <w:r>
        <w:rPr>
          <w:rFonts w:ascii="Arial" w:hAnsi="Arial" w:cs="Arial"/>
          <w:color w:val="231F20"/>
          <w:sz w:val="20"/>
          <w:szCs w:val="20"/>
        </w:rPr>
        <w:t>pipe</w:t>
      </w:r>
      <w:proofErr w:type="gramEnd"/>
      <w:r>
        <w:rPr>
          <w:rFonts w:ascii="Arial" w:hAnsi="Arial" w:cs="Arial"/>
          <w:color w:val="231F20"/>
          <w:sz w:val="20"/>
          <w:szCs w:val="20"/>
        </w:rPr>
        <w:t xml:space="preserve"> or any device, contrivance, instrument, or paraphernalia used for unlawfully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injecting or smoking a controlled substance from Section 11054 and Section 11055 (California Health &amp; Safety Code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11364).</w:t>
      </w:r>
    </w:p>
    <w:p w14:paraId="70C0388D" w14:textId="77777777" w:rsidR="003C4C6D" w:rsidRDefault="003C4C6D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68E6DD9D" w14:textId="0F7C5A18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(4) Personal property may be subject to forfeiture if it contains drugs or was used in a drug manufacture, sale,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possession for sale, offer for sale, offer to manufacture or conspiracy to commit one of these offenses, if the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exchange, violation, or other conduct which is the basis for the forfeiture occurred within five years of the seizure of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 property, or the filing of a petition under this chapter, or the issuance of an order of forfeiture of the property,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whichever comes first (California Health &amp; Safety Code 11470).</w:t>
      </w:r>
    </w:p>
    <w:p w14:paraId="782E97E7" w14:textId="77777777" w:rsidR="003C4C6D" w:rsidRDefault="003C4C6D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0F6DC3E9" w14:textId="76323F68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lastRenderedPageBreak/>
        <w:t>(5) The illegal possession of most of the above-mentioned drugs may be felonies or misdemeanors depending upon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amounts involved.</w:t>
      </w:r>
    </w:p>
    <w:p w14:paraId="23EAC24B" w14:textId="4FFAE9BC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(6) The California Legislature declares that the dispensing and furnishing of prescription drugs, controlled substances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 dangerous drugs or dangerous devices without a license poses a significant threat to the health, safety and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welfare of all persons residing in the state. It is the intent of the Legislature in enacting this provision to enhance the</w:t>
      </w:r>
      <w:r w:rsidR="003C4C6D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penalties attached to this illicit and dangerous conduct. (California Health &amp; Safety Code 11352.1).</w:t>
      </w:r>
    </w:p>
    <w:p w14:paraId="59AFD784" w14:textId="77777777" w:rsidR="003C4C6D" w:rsidRDefault="003C4C6D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2C8EF4" w14:textId="5B6F58D5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Local Law</w:t>
      </w:r>
    </w:p>
    <w:p w14:paraId="4C7FBC80" w14:textId="77777777" w:rsidR="003C4C6D" w:rsidRDefault="003C4C6D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74DE5A" w14:textId="77777777" w:rsidR="00570F95" w:rsidRDefault="00570F95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A. Intoxication</w:t>
      </w:r>
    </w:p>
    <w:p w14:paraId="76D5A576" w14:textId="77777777" w:rsidR="003C4C6D" w:rsidRDefault="003C4C6D" w:rsidP="00570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6FCB4C" w14:textId="63DA7B5A" w:rsidR="00B9759E" w:rsidRPr="003C4C6D" w:rsidRDefault="00570F95" w:rsidP="003C4C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C4C6D">
        <w:rPr>
          <w:rFonts w:ascii="Arial" w:hAnsi="Arial" w:cs="Arial"/>
          <w:color w:val="000000"/>
          <w:sz w:val="20"/>
          <w:szCs w:val="20"/>
        </w:rPr>
        <w:t>No person shall drink any malt, spirituous or vinous liquor containing more than one-half of one percent of alcohol</w:t>
      </w:r>
      <w:r w:rsidR="003C4C6D" w:rsidRPr="003C4C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4C6D">
        <w:rPr>
          <w:rFonts w:ascii="Arial" w:hAnsi="Arial" w:cs="Arial"/>
          <w:color w:val="000000"/>
          <w:sz w:val="20"/>
          <w:szCs w:val="20"/>
        </w:rPr>
        <w:t>by volume, upon any street, sidewalk or parkway, park, playground, Los Angeles Memorial Coliseum, or in any</w:t>
      </w:r>
      <w:r w:rsidR="003C4C6D" w:rsidRPr="003C4C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4C6D">
        <w:rPr>
          <w:rFonts w:ascii="Arial" w:hAnsi="Arial" w:cs="Arial"/>
          <w:color w:val="000000"/>
          <w:sz w:val="20"/>
          <w:szCs w:val="20"/>
        </w:rPr>
        <w:t>railroad depot or bus station, or in any public place or in any place open to the patronage of the public, which</w:t>
      </w:r>
      <w:r w:rsidR="003C4C6D" w:rsidRPr="003C4C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4C6D">
        <w:rPr>
          <w:rFonts w:ascii="Arial" w:hAnsi="Arial" w:cs="Arial"/>
          <w:color w:val="000000"/>
          <w:sz w:val="20"/>
          <w:szCs w:val="20"/>
        </w:rPr>
        <w:t>premises are not licensed for the consumption of such liquor on the premises (Los Angeles Municipal Code: Sec.</w:t>
      </w:r>
      <w:r w:rsidR="003C4C6D" w:rsidRPr="003C4C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4C6D">
        <w:rPr>
          <w:rFonts w:ascii="Arial" w:hAnsi="Arial" w:cs="Arial"/>
          <w:color w:val="000000"/>
          <w:sz w:val="20"/>
          <w:szCs w:val="20"/>
        </w:rPr>
        <w:t>41.27)</w:t>
      </w:r>
      <w:r w:rsidR="003C4C6D" w:rsidRPr="003C4C6D">
        <w:rPr>
          <w:rFonts w:ascii="Arial" w:hAnsi="Arial" w:cs="Arial"/>
          <w:color w:val="000000"/>
          <w:sz w:val="20"/>
          <w:szCs w:val="20"/>
        </w:rPr>
        <w:t>.</w:t>
      </w:r>
    </w:p>
    <w:p w14:paraId="28CFE331" w14:textId="77777777" w:rsidR="003C4C6D" w:rsidRDefault="003C4C6D" w:rsidP="003C4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EE2C32E" w14:textId="77777777" w:rsidR="003C4C6D" w:rsidRDefault="003C4C6D" w:rsidP="003C4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5450240" w14:textId="77777777" w:rsidR="003C4C6D" w:rsidRPr="003C4C6D" w:rsidRDefault="003C4C6D" w:rsidP="003C4C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2"/>
          <w:szCs w:val="12"/>
        </w:rPr>
      </w:pPr>
    </w:p>
    <w:p w14:paraId="5383016C" w14:textId="6C668D3B" w:rsidR="003C4C6D" w:rsidRPr="003C4C6D" w:rsidRDefault="003C4C6D" w:rsidP="003C4C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2"/>
          <w:szCs w:val="12"/>
        </w:rPr>
      </w:pPr>
      <w:r w:rsidRPr="003C4C6D">
        <w:rPr>
          <w:rFonts w:ascii="Arial" w:hAnsi="Arial" w:cs="Arial"/>
          <w:color w:val="000000"/>
          <w:sz w:val="12"/>
          <w:szCs w:val="12"/>
        </w:rPr>
        <w:t>V. 9/19/2022</w:t>
      </w:r>
    </w:p>
    <w:sectPr w:rsidR="003C4C6D" w:rsidRPr="003C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56F4"/>
    <w:multiLevelType w:val="hybridMultilevel"/>
    <w:tmpl w:val="2DBAB534"/>
    <w:lvl w:ilvl="0" w:tplc="94865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95"/>
    <w:rsid w:val="00032886"/>
    <w:rsid w:val="00041F4D"/>
    <w:rsid w:val="003C4C6D"/>
    <w:rsid w:val="00570F95"/>
    <w:rsid w:val="00B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DDF6"/>
  <w15:chartTrackingRefBased/>
  <w15:docId w15:val="{43C7729D-F595-4B97-8218-7D1D72BD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Riojas, Matthew</dc:creator>
  <cp:keywords/>
  <dc:description/>
  <cp:lastModifiedBy>Riojas, Matthew</cp:lastModifiedBy>
  <cp:revision>1</cp:revision>
  <dcterms:created xsi:type="dcterms:W3CDTF">2022-09-29T19:09:00Z</dcterms:created>
  <dcterms:modified xsi:type="dcterms:W3CDTF">2022-09-29T19:17:00Z</dcterms:modified>
</cp:coreProperties>
</file>